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 w:eastAsia="仿宋_GB2312" w:cs="仿宋_GB2312"/>
          <w:sz w:val="32"/>
          <w:szCs w:val="24"/>
        </w:rPr>
      </w:pPr>
      <w:r>
        <w:rPr>
          <w:rFonts w:hint="eastAsia" w:ascii="仿宋_GB2312" w:hAnsi="仿宋" w:eastAsia="仿宋_GB2312" w:cs="仿宋_GB2312"/>
          <w:sz w:val="32"/>
          <w:szCs w:val="24"/>
        </w:rPr>
        <w:t>附件</w:t>
      </w:r>
      <w:r>
        <w:rPr>
          <w:rFonts w:hint="eastAsia" w:ascii="仿宋_GB2312" w:hAnsi="仿宋" w:eastAsia="仿宋_GB2312" w:cs="仿宋_GB2312"/>
          <w:sz w:val="32"/>
          <w:szCs w:val="24"/>
          <w:lang w:val="en-US" w:eastAsia="zh-CN"/>
        </w:rPr>
        <w:t>2</w:t>
      </w:r>
      <w:bookmarkStart w:id="0" w:name="_GoBack"/>
      <w:bookmarkEnd w:id="0"/>
      <w:r>
        <w:rPr>
          <w:rFonts w:hint="eastAsia" w:ascii="仿宋_GB2312" w:hAnsi="仿宋" w:eastAsia="仿宋_GB2312" w:cs="仿宋_GB2312"/>
          <w:sz w:val="32"/>
          <w:szCs w:val="24"/>
        </w:rPr>
        <w:t>：</w:t>
      </w:r>
    </w:p>
    <w:p>
      <w:pPr>
        <w:jc w:val="center"/>
        <w:rPr>
          <w:rFonts w:ascii="仿宋_GB2312" w:hAnsi="Times New Roman" w:eastAsia="仿宋_GB2312"/>
          <w:sz w:val="36"/>
          <w:szCs w:val="36"/>
        </w:rPr>
      </w:pPr>
      <w:r>
        <w:rPr>
          <w:rFonts w:hint="eastAsia" w:ascii="方正小标宋简体" w:hAnsi="仿宋" w:eastAsia="方正小标宋简体" w:cs="仿宋_GB2312"/>
          <w:kern w:val="0"/>
          <w:sz w:val="36"/>
          <w:szCs w:val="36"/>
        </w:rPr>
        <w:t>隧道工程长期安全实体试验场简介</w:t>
      </w:r>
    </w:p>
    <w:p>
      <w:pPr>
        <w:spacing w:after="156" w:afterLines="50" w:line="580" w:lineRule="exact"/>
        <w:ind w:firstLine="560" w:firstLineChars="200"/>
        <w:rPr>
          <w:rFonts w:ascii="仿宋_GB2312" w:eastAsia="仿宋_GB2312"/>
          <w:color w:val="FF0000"/>
          <w:sz w:val="28"/>
          <w:szCs w:val="28"/>
        </w:rPr>
      </w:pPr>
      <w:r>
        <w:rPr>
          <w:rFonts w:hint="eastAsia" w:ascii="仿宋_GB2312" w:eastAsia="仿宋_GB2312"/>
          <w:sz w:val="28"/>
          <w:szCs w:val="28"/>
        </w:rPr>
        <w:t>隧道工程长期安全实体试验场是广东省交通集团有限公司利用惠清高速太和洞隧道的废弃施工支洞，建设全国第一个500m以上的隧道工程长期安全实体试验场。试验场由520米近两车道断面隧道、57米标准两车道高速公路隧道和300平米办公场所构成。试验场位于广东省清远市清新区，周边交通方便、配套齐全、环境优美。</w:t>
      </w:r>
    </w:p>
    <w:p>
      <w:pPr>
        <w:spacing w:line="360" w:lineRule="auto"/>
        <w:jc w:val="center"/>
        <w:rPr>
          <w:rFonts w:ascii="仿宋_GB2312" w:eastAsia="仿宋_GB2312"/>
          <w:sz w:val="28"/>
          <w:szCs w:val="28"/>
        </w:rPr>
      </w:pPr>
      <w:r>
        <w:rPr>
          <w:rFonts w:ascii="仿宋_GB2312" w:eastAsia="仿宋_GB2312"/>
          <w:sz w:val="28"/>
          <w:szCs w:val="28"/>
        </w:rPr>
        <w:drawing>
          <wp:inline distT="0" distB="0" distL="0" distR="0">
            <wp:extent cx="5067300" cy="2533650"/>
            <wp:effectExtent l="0" t="0" r="0" b="0"/>
            <wp:docPr id="6" name="图片 6" descr="说明: 试验场区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试验场区位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95068" cy="2547229"/>
                    </a:xfrm>
                    <a:prstGeom prst="rect">
                      <a:avLst/>
                    </a:prstGeom>
                    <a:noFill/>
                    <a:ln>
                      <a:noFill/>
                    </a:ln>
                  </pic:spPr>
                </pic:pic>
              </a:graphicData>
            </a:graphic>
          </wp:inline>
        </w:drawing>
      </w:r>
    </w:p>
    <w:p>
      <w:pPr>
        <w:spacing w:line="580" w:lineRule="exact"/>
        <w:jc w:val="center"/>
        <w:rPr>
          <w:rFonts w:ascii="仿宋_GB2312" w:eastAsia="仿宋_GB2312"/>
          <w:b/>
          <w:bCs/>
          <w:sz w:val="28"/>
          <w:szCs w:val="28"/>
        </w:rPr>
      </w:pPr>
      <w:r>
        <w:rPr>
          <w:rFonts w:hint="eastAsia" w:ascii="仿宋_GB2312" w:eastAsia="仿宋_GB2312"/>
          <w:b/>
          <w:bCs/>
          <w:sz w:val="28"/>
          <w:szCs w:val="28"/>
        </w:rPr>
        <w:t>试验场区位图</w:t>
      </w:r>
    </w:p>
    <w:p>
      <w:pPr>
        <w:spacing w:line="360" w:lineRule="auto"/>
        <w:jc w:val="center"/>
        <w:rPr>
          <w:rFonts w:ascii="仿宋_GB2312" w:eastAsia="仿宋_GB2312"/>
          <w:sz w:val="28"/>
          <w:szCs w:val="28"/>
        </w:rPr>
      </w:pPr>
      <w:r>
        <w:rPr>
          <w:rFonts w:ascii="仿宋_GB2312" w:eastAsia="仿宋_GB2312"/>
          <w:sz w:val="28"/>
          <w:szCs w:val="28"/>
        </w:rPr>
        <w:drawing>
          <wp:inline distT="0" distB="0" distL="0" distR="0">
            <wp:extent cx="5143500" cy="2571115"/>
            <wp:effectExtent l="0" t="0" r="0" b="635"/>
            <wp:docPr id="5" name="图片 5" descr="说明: C:/Users/ADMINI~1/AppData/Local/Temp/picturecompress_2021022610354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C:/Users/ADMINI~1/AppData/Local/Temp/picturecompress_20210226103547/output_1.jpgoutput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64899" cy="2582138"/>
                    </a:xfrm>
                    <a:prstGeom prst="rect">
                      <a:avLst/>
                    </a:prstGeom>
                    <a:noFill/>
                    <a:ln>
                      <a:noFill/>
                    </a:ln>
                  </pic:spPr>
                </pic:pic>
              </a:graphicData>
            </a:graphic>
          </wp:inline>
        </w:drawing>
      </w:r>
    </w:p>
    <w:p>
      <w:pPr>
        <w:spacing w:line="580" w:lineRule="exact"/>
        <w:jc w:val="center"/>
        <w:rPr>
          <w:rFonts w:ascii="仿宋_GB2312" w:eastAsia="仿宋_GB2312"/>
          <w:b/>
          <w:bCs/>
          <w:sz w:val="28"/>
          <w:szCs w:val="28"/>
        </w:rPr>
      </w:pPr>
      <w:r>
        <w:rPr>
          <w:rFonts w:hint="eastAsia" w:ascii="仿宋_GB2312" w:eastAsia="仿宋_GB2312"/>
          <w:b/>
          <w:bCs/>
          <w:sz w:val="28"/>
          <w:szCs w:val="28"/>
        </w:rPr>
        <w:t>试验场建成后洞口环境</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试验场分为隧道结构长期安全试验隧道、隧道运营环境多功能试验隧道、隧道建设条件多功能试验隧道，建设有隧道衬砌结构缺陷、隧道抗滑降噪路面、隧道超前地质预报、隧道车路协同、隧道联动控制等15个试验场景，可开展隧道土建结构、绿色路面、营运安全、智慧交通等关键技术与装备研究。</w:t>
      </w:r>
    </w:p>
    <w:p>
      <w:pPr>
        <w:spacing w:line="360" w:lineRule="auto"/>
        <w:jc w:val="center"/>
        <w:rPr>
          <w:rFonts w:ascii="仿宋_GB2312" w:eastAsia="仿宋_GB2312"/>
          <w:sz w:val="28"/>
          <w:szCs w:val="28"/>
        </w:rPr>
      </w:pPr>
      <w:r>
        <w:rPr>
          <w:rFonts w:ascii="仿宋_GB2312" w:eastAsia="仿宋_GB2312"/>
          <w:sz w:val="28"/>
          <w:szCs w:val="28"/>
        </w:rPr>
        <w:drawing>
          <wp:inline distT="0" distB="0" distL="0" distR="0">
            <wp:extent cx="5270500" cy="2950210"/>
            <wp:effectExtent l="0" t="0" r="6350" b="2540"/>
            <wp:docPr id="4" name="图片 4" descr="说明: 试验场景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试验场景分布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0500" cy="2950210"/>
                    </a:xfrm>
                    <a:prstGeom prst="rect">
                      <a:avLst/>
                    </a:prstGeom>
                    <a:noFill/>
                    <a:ln>
                      <a:noFill/>
                    </a:ln>
                  </pic:spPr>
                </pic:pic>
              </a:graphicData>
            </a:graphic>
          </wp:inline>
        </w:drawing>
      </w:r>
    </w:p>
    <w:p>
      <w:pPr>
        <w:spacing w:line="580" w:lineRule="exact"/>
        <w:jc w:val="center"/>
        <w:rPr>
          <w:rFonts w:ascii="仿宋_GB2312" w:eastAsia="仿宋_GB2312"/>
          <w:b/>
          <w:bCs/>
          <w:sz w:val="28"/>
          <w:szCs w:val="28"/>
        </w:rPr>
      </w:pPr>
      <w:r>
        <w:rPr>
          <w:rFonts w:hint="eastAsia" w:ascii="仿宋_GB2312" w:eastAsia="仿宋_GB2312"/>
          <w:b/>
          <w:bCs/>
          <w:sz w:val="28"/>
          <w:szCs w:val="28"/>
        </w:rPr>
        <w:t>试验场景分布图</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同时依托广东省公路水运检测设备计量站和广东交科检测有限公司，可开展隧道工程新产品、新材料、设备计量比对验证等试验研究。</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丰富的试验场景配合洞口300平米的办公场地，可实地开展隧道工程应急救援演练、施工技术培训与行业、学术、专业会议举办等。</w:t>
      </w:r>
    </w:p>
    <w:p>
      <w:pPr>
        <w:pStyle w:val="10"/>
        <w:spacing w:line="580" w:lineRule="exact"/>
        <w:ind w:firstLine="560"/>
        <w:rPr>
          <w:rFonts w:ascii="仿宋_GB2312" w:eastAsia="仿宋_GB2312"/>
          <w:sz w:val="28"/>
          <w:szCs w:val="28"/>
        </w:rPr>
      </w:pPr>
      <w:r>
        <w:rPr>
          <w:rFonts w:hint="eastAsia" w:ascii="仿宋_GB2312" w:eastAsia="仿宋_GB2312"/>
          <w:sz w:val="28"/>
          <w:szCs w:val="28"/>
        </w:rPr>
        <w:t>试验场的建设符合我国</w:t>
      </w:r>
      <w:r>
        <w:rPr>
          <w:rFonts w:ascii="仿宋_GB2312" w:eastAsia="仿宋_GB2312"/>
          <w:sz w:val="28"/>
          <w:szCs w:val="28"/>
        </w:rPr>
        <w:t>交通强国建设</w:t>
      </w:r>
      <w:r>
        <w:rPr>
          <w:rFonts w:hint="eastAsia" w:ascii="仿宋_GB2312" w:eastAsia="仿宋_GB2312"/>
          <w:sz w:val="28"/>
          <w:szCs w:val="28"/>
        </w:rPr>
        <w:t>纲要和</w:t>
      </w:r>
      <w:r>
        <w:rPr>
          <w:rFonts w:ascii="仿宋_GB2312" w:eastAsia="仿宋_GB2312"/>
          <w:sz w:val="28"/>
          <w:szCs w:val="28"/>
        </w:rPr>
        <w:t>公路水路交通科技发展战略需要</w:t>
      </w:r>
      <w:r>
        <w:rPr>
          <w:rFonts w:hint="eastAsia" w:ascii="仿宋_GB2312" w:eastAsia="仿宋_GB2312"/>
          <w:sz w:val="28"/>
          <w:szCs w:val="28"/>
        </w:rPr>
        <w:t>，是支撑粤港澳大湾区建设的重要举措，对地下空间及隧道工程长期安全技术发展具有重大意义。</w:t>
      </w:r>
    </w:p>
    <w:p>
      <w:pPr>
        <w:spacing w:line="360" w:lineRule="auto"/>
        <w:jc w:val="center"/>
        <w:rPr>
          <w:rFonts w:ascii="仿宋_GB2312" w:eastAsia="仿宋_GB2312"/>
          <w:b/>
          <w:bCs/>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DMzZjdmMThkNGM4YTc1ZTAwYzZlY2E2NmM5OWQifQ=="/>
  </w:docVars>
  <w:rsids>
    <w:rsidRoot w:val="000419C9"/>
    <w:rsid w:val="00006FBF"/>
    <w:rsid w:val="000419C9"/>
    <w:rsid w:val="00042F7F"/>
    <w:rsid w:val="00050C6F"/>
    <w:rsid w:val="00071912"/>
    <w:rsid w:val="00081F05"/>
    <w:rsid w:val="000A30A5"/>
    <w:rsid w:val="000C1887"/>
    <w:rsid w:val="000C71FC"/>
    <w:rsid w:val="000E3E56"/>
    <w:rsid w:val="00100235"/>
    <w:rsid w:val="00101949"/>
    <w:rsid w:val="001510DD"/>
    <w:rsid w:val="00190972"/>
    <w:rsid w:val="001D47BA"/>
    <w:rsid w:val="001E02A4"/>
    <w:rsid w:val="001F541A"/>
    <w:rsid w:val="00205CD1"/>
    <w:rsid w:val="0024597D"/>
    <w:rsid w:val="00257AE3"/>
    <w:rsid w:val="00294D1F"/>
    <w:rsid w:val="00351693"/>
    <w:rsid w:val="003B6714"/>
    <w:rsid w:val="003D1F4F"/>
    <w:rsid w:val="003E3CF1"/>
    <w:rsid w:val="00426DC0"/>
    <w:rsid w:val="00480BDF"/>
    <w:rsid w:val="004A146F"/>
    <w:rsid w:val="004C6F9A"/>
    <w:rsid w:val="004D1661"/>
    <w:rsid w:val="004E1428"/>
    <w:rsid w:val="00517607"/>
    <w:rsid w:val="005275F9"/>
    <w:rsid w:val="005562DF"/>
    <w:rsid w:val="005C57FC"/>
    <w:rsid w:val="005D5446"/>
    <w:rsid w:val="005D662C"/>
    <w:rsid w:val="005F5060"/>
    <w:rsid w:val="00625C5D"/>
    <w:rsid w:val="00660B08"/>
    <w:rsid w:val="00691A93"/>
    <w:rsid w:val="006F4E46"/>
    <w:rsid w:val="007146ED"/>
    <w:rsid w:val="00717460"/>
    <w:rsid w:val="0074731C"/>
    <w:rsid w:val="007A2DF7"/>
    <w:rsid w:val="007F7CE6"/>
    <w:rsid w:val="00816B68"/>
    <w:rsid w:val="00895F93"/>
    <w:rsid w:val="008B3F82"/>
    <w:rsid w:val="00904B54"/>
    <w:rsid w:val="00905A4D"/>
    <w:rsid w:val="009229B9"/>
    <w:rsid w:val="00954723"/>
    <w:rsid w:val="009A2F4A"/>
    <w:rsid w:val="009A3442"/>
    <w:rsid w:val="009E2ABD"/>
    <w:rsid w:val="009F6696"/>
    <w:rsid w:val="00A05848"/>
    <w:rsid w:val="00A06A19"/>
    <w:rsid w:val="00A82916"/>
    <w:rsid w:val="00A85073"/>
    <w:rsid w:val="00AD14AD"/>
    <w:rsid w:val="00B0194D"/>
    <w:rsid w:val="00B95383"/>
    <w:rsid w:val="00BB7EC1"/>
    <w:rsid w:val="00BD0B65"/>
    <w:rsid w:val="00BF0C0C"/>
    <w:rsid w:val="00C33F4A"/>
    <w:rsid w:val="00C355DC"/>
    <w:rsid w:val="00C53478"/>
    <w:rsid w:val="00CD72B8"/>
    <w:rsid w:val="00CF141D"/>
    <w:rsid w:val="00CF2E60"/>
    <w:rsid w:val="00D144C3"/>
    <w:rsid w:val="00D2124A"/>
    <w:rsid w:val="00D21E9C"/>
    <w:rsid w:val="00D478E3"/>
    <w:rsid w:val="00D57473"/>
    <w:rsid w:val="00D64417"/>
    <w:rsid w:val="00D872D1"/>
    <w:rsid w:val="00D92AC7"/>
    <w:rsid w:val="00E12FB5"/>
    <w:rsid w:val="00E1372F"/>
    <w:rsid w:val="00E15D18"/>
    <w:rsid w:val="00E37BF4"/>
    <w:rsid w:val="00E5790C"/>
    <w:rsid w:val="00E62D8A"/>
    <w:rsid w:val="00E8736E"/>
    <w:rsid w:val="00EA64FA"/>
    <w:rsid w:val="00F92435"/>
    <w:rsid w:val="00FB0C88"/>
    <w:rsid w:val="00FB4CB3"/>
    <w:rsid w:val="3FE7A241"/>
    <w:rsid w:val="5EFF6E02"/>
    <w:rsid w:val="76DD8C84"/>
    <w:rsid w:val="77336528"/>
    <w:rsid w:val="E967FFE0"/>
    <w:rsid w:val="EDFD4452"/>
    <w:rsid w:val="F6FBD13A"/>
    <w:rsid w:val="F9FE6473"/>
    <w:rsid w:val="FBD4F484"/>
    <w:rsid w:val="FBFFEC6F"/>
    <w:rsid w:val="FFD35729"/>
    <w:rsid w:val="FFD576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rFonts w:ascii="Calibri" w:hAnsi="Calibri" w:eastAsia="宋体" w:cs="Times New Roman"/>
      <w:kern w:val="2"/>
      <w:sz w:val="18"/>
      <w:szCs w:val="18"/>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Words>
  <Characters>455</Characters>
  <Lines>3</Lines>
  <Paragraphs>1</Paragraphs>
  <TotalTime>39</TotalTime>
  <ScaleCrop>false</ScaleCrop>
  <LinksUpToDate>false</LinksUpToDate>
  <CharactersWithSpaces>533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2021-03-02T04:44:00Z</dcterms:created>
  <dc:creator>谢柏棠</dc:creator>
  <cp:lastModifiedBy>秋季的阳光</cp:lastModifiedBy>
  <dcterms:modified xsi:type="dcterms:W3CDTF">2024-04-26T03:20:13Z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814492EAA19740E5A78152460448491A_12</vt:lpwstr>
  </property>
</Properties>
</file>